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9E" w:rsidRPr="00A5529E" w:rsidRDefault="00A5529E" w:rsidP="00A5529E">
      <w:pPr>
        <w:spacing w:before="120" w:after="120"/>
        <w:ind w:left="-108" w:firstLine="675"/>
        <w:jc w:val="center"/>
        <w:rPr>
          <w:b/>
          <w:sz w:val="28"/>
          <w:szCs w:val="28"/>
        </w:rPr>
      </w:pPr>
      <w:r w:rsidRPr="00A5529E">
        <w:rPr>
          <w:b/>
          <w:sz w:val="28"/>
          <w:szCs w:val="28"/>
        </w:rPr>
        <w:t>QUY TRÌNH</w:t>
      </w:r>
    </w:p>
    <w:p w:rsidR="009A0D18" w:rsidRPr="00A5529E" w:rsidRDefault="00A5529E" w:rsidP="00A5529E">
      <w:pPr>
        <w:spacing w:before="120" w:after="120"/>
        <w:ind w:left="-108" w:firstLine="675"/>
        <w:jc w:val="center"/>
        <w:rPr>
          <w:b/>
          <w:color w:val="000000"/>
          <w:sz w:val="28"/>
          <w:szCs w:val="28"/>
        </w:rPr>
      </w:pPr>
      <w:r w:rsidRPr="00A5529E">
        <w:rPr>
          <w:b/>
          <w:color w:val="000000"/>
          <w:sz w:val="28"/>
          <w:szCs w:val="28"/>
        </w:rPr>
        <w:t>THỦ TỤC CHO PHÉP PHƯƠNG TIỆN THỦY NỘI ĐỊA VÀO CẢNG BIỂN</w:t>
      </w:r>
    </w:p>
    <w:p w:rsidR="00A5529E" w:rsidRPr="00A5529E" w:rsidRDefault="00A5529E" w:rsidP="00A5529E">
      <w:pPr>
        <w:shd w:val="clear" w:color="auto" w:fill="FFFFFF"/>
        <w:spacing w:before="120" w:after="120" w:line="360" w:lineRule="atLeast"/>
        <w:ind w:left="-108" w:firstLine="675"/>
        <w:outlineLvl w:val="2"/>
        <w:rPr>
          <w:color w:val="1C3691"/>
          <w:sz w:val="28"/>
          <w:szCs w:val="28"/>
        </w:rPr>
      </w:pPr>
      <w:bookmarkStart w:id="0" w:name="_GoBack"/>
      <w:r w:rsidRPr="00A5529E">
        <w:rPr>
          <w:color w:val="1C3691"/>
          <w:sz w:val="28"/>
          <w:szCs w:val="28"/>
        </w:rPr>
        <w:t>Thủ tục cho phương tiện thủy nội địa vào cảng biển (trừ phương tiện thủy nội địa mang cấp VR-SB)</w:t>
      </w:r>
    </w:p>
    <w:bookmarkEnd w:id="0"/>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1. Trình tự thực hiện:</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a) Nộp hồ sơ TTHC:</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Trước khi phương tiện thủy nội địa vào cảng biển hoặc sau khi vào neo đậu an toàn, người làm thủ tục nộp, xuất trình cho Cảng vụ hàng hải các giấy tờ, tài liệu của phương tiện thủy theo quy định.</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Trường hợp phương tiện thủy nội địa vào cảng biển và lưu lại trong khoảng thời gian không quá 72 giờ, không bốc, dỡ hàng hóa, không đón, trả hành khách và giấy tờ, tài liệu khi làm thủ tục rời cảng không thay đổi so với khi đến thì được làm thủ tục vào, rời vào lúc rời cảng.</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b) Giải quyết TTHC:</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Chậm nhất 30 phút kể từ khi người làm thủ tục đã nộp và xuất trình đủ các giấy tờ theo quy định, Cảng vụ hàng hải hoàn thành thủ tục. Trường hợp không hoàn thành thủ tục phải trả lời và nêu rõ lý do.</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2.  Cách thức thực hiện:</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Qua fax, khai báo điện tử, gửi trực tiếp hoặc thông qua hệ thống bưu chính.</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3. Thành phần, số lượng hồ sơ:</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a) Thành phần hồ sơ:</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Các giấy tờ phải nộp (bản chính), mỗi loại 01 bản, gồm: Bản khai chung (đối với phương tiện thủy nội địa) theo mẫu, Danh sách hành khách (đối với phương tiện chở khách) theo mẫu, Giấy phép rời cảng;</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Các giấy tờ phải xuất trình (bản chính), bao gồm:</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xml:space="preserve">Giấy chứng nhận đăng ký phương tiện thủy nội địa; Giấy chứng nhận an toàn kỹ thuật và bảo vệ môi trường của phương tiện; Sổ Danh bạ thuyền viên; Bằng hoặc Giấy chứng nhận khả năng chuyên môn, chứng chỉ chuyên môn của thuyền viên, người lái </w:t>
      </w:r>
      <w:r w:rsidRPr="00A5529E">
        <w:rPr>
          <w:color w:val="333333"/>
          <w:sz w:val="28"/>
          <w:szCs w:val="28"/>
        </w:rPr>
        <w:lastRenderedPageBreak/>
        <w:t>phương tiện; Hợp đồng vận chuyển hoặc hóa </w:t>
      </w:r>
      <w:r w:rsidRPr="00A5529E">
        <w:rPr>
          <w:color w:val="333333"/>
          <w:sz w:val="28"/>
          <w:szCs w:val="28"/>
          <w:shd w:val="clear" w:color="auto" w:fill="FFFFFF"/>
        </w:rPr>
        <w:t>đơn</w:t>
      </w:r>
      <w:r w:rsidRPr="00A5529E">
        <w:rPr>
          <w:color w:val="333333"/>
          <w:sz w:val="28"/>
          <w:szCs w:val="28"/>
        </w:rPr>
        <w:t> xuất kho hoặc giấy vận chuyển hàng hóa (nếu có).</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b) Số lượng hồ sơ: 01 bộ.      </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4. Thời hạn giải quyết:</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Chậm nhất 30 phút, kể từ khi người làm thủ tục đã nộp, xuất trình đủ các giấy tờ theo quy định.</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5. Đối tượng thực hiện TTHC: </w:t>
      </w:r>
      <w:r w:rsidRPr="00A5529E">
        <w:rPr>
          <w:color w:val="333333"/>
          <w:sz w:val="28"/>
          <w:szCs w:val="28"/>
        </w:rPr>
        <w:t>Người làm thủ tục.</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6. Cơ quan thực hiện TTHC:</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a) Cơ quan có thẩm quyền quyết định: Cảng vụ hàng hải hoặc Đại diện Cảng vụ hàng hải; </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b) Cơ quan hoặc người có thẩm quyền được ủy quyền hoặc phân cấp thực hiện: Không có;</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c) Cơ quan trực tiếp thực hiện thủ tục hành chính: Cảng vụ hàng hải hoặc Đại diện Cảng vụ hàng hải; </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d) Cơ quan phối hợp: Không có.</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7. Kết quả của việc thực hiện TTHC:</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Giấy phép vào cảng biển.</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8. Phí, lệ phí:</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Mức thu phí, lệ phí áp dụng tại cảng, bến thủy nội theo quy định tại Thông tư số 248/2016/TT-BTC ngày 11/11/2016 của Bộ trưởng Bộ Tài chính.</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9. Tên mẫu đơn, mẫu tờ khai hành chính:</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Bản khai chung;</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Danh sách hành khách.</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10. Yêu cầu, điều kiện thực hiện TTHC: </w:t>
      </w:r>
      <w:r w:rsidRPr="00A5529E">
        <w:rPr>
          <w:color w:val="333333"/>
          <w:sz w:val="28"/>
          <w:szCs w:val="28"/>
        </w:rPr>
        <w:t>Không có.</w:t>
      </w:r>
    </w:p>
    <w:p w:rsidR="00A5529E" w:rsidRPr="00A5529E" w:rsidRDefault="00A5529E" w:rsidP="00A5529E">
      <w:pPr>
        <w:shd w:val="clear" w:color="auto" w:fill="FFFFFF"/>
        <w:spacing w:before="120" w:after="120"/>
        <w:ind w:left="-108" w:firstLine="675"/>
        <w:jc w:val="both"/>
        <w:rPr>
          <w:color w:val="333333"/>
          <w:sz w:val="28"/>
          <w:szCs w:val="28"/>
        </w:rPr>
      </w:pPr>
      <w:r w:rsidRPr="00A5529E">
        <w:rPr>
          <w:b/>
          <w:bCs/>
          <w:color w:val="333333"/>
          <w:sz w:val="28"/>
          <w:szCs w:val="28"/>
        </w:rPr>
        <w:t>11.  Căn cứ pháp lý của TTHC:</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Bộ luật Hàng hải Việt Nam ngày 25/11/2015;</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Nghị định số 58/2017/NĐ-CP ngày 10/5/2017 của Chính phủ quy định chi tiết một số điều của Bộ luật Hàng hải Việt Nam về quản lý hoạt động hàng hải;</w:t>
      </w:r>
    </w:p>
    <w:p w:rsidR="00A5529E" w:rsidRPr="00A5529E" w:rsidRDefault="00A5529E" w:rsidP="00A5529E">
      <w:pPr>
        <w:shd w:val="clear" w:color="auto" w:fill="FFFFFF"/>
        <w:spacing w:before="120" w:after="120"/>
        <w:ind w:left="-108" w:firstLine="675"/>
        <w:jc w:val="both"/>
        <w:rPr>
          <w:color w:val="333333"/>
          <w:sz w:val="28"/>
          <w:szCs w:val="28"/>
        </w:rPr>
      </w:pPr>
      <w:r w:rsidRPr="00A5529E">
        <w:rPr>
          <w:color w:val="333333"/>
          <w:sz w:val="28"/>
          <w:szCs w:val="28"/>
        </w:rPr>
        <w:t>- Thông tư số 248/2016/TT-BTC ngày 11/11/2016 của Bộ trưởng Bộ Tài chính quy định mức thu, chế độ thu, nộp, quản lý và sử dụng phí, lệ </w:t>
      </w:r>
      <w:r w:rsidRPr="00A5529E">
        <w:rPr>
          <w:color w:val="333333"/>
          <w:sz w:val="28"/>
          <w:szCs w:val="28"/>
          <w:shd w:val="clear" w:color="auto" w:fill="FFFFFF"/>
        </w:rPr>
        <w:t>phí</w:t>
      </w:r>
      <w:r w:rsidRPr="00A5529E">
        <w:rPr>
          <w:color w:val="333333"/>
          <w:sz w:val="28"/>
          <w:szCs w:val="28"/>
        </w:rPr>
        <w:t> áp dụng tại cảng, bến thủy nội địa</w:t>
      </w:r>
    </w:p>
    <w:p w:rsidR="00A5529E" w:rsidRPr="00A5529E" w:rsidRDefault="00A5529E" w:rsidP="00A5529E">
      <w:pPr>
        <w:spacing w:before="120" w:after="120"/>
        <w:ind w:left="-108" w:firstLine="675"/>
        <w:jc w:val="both"/>
        <w:rPr>
          <w:sz w:val="28"/>
          <w:szCs w:val="28"/>
        </w:rPr>
      </w:pPr>
    </w:p>
    <w:sectPr w:rsidR="00A5529E" w:rsidRPr="00A5529E" w:rsidSect="00A5529E">
      <w:pgSz w:w="12240" w:h="15840"/>
      <w:pgMar w:top="1134" w:right="104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9E"/>
    <w:rsid w:val="009A0D18"/>
    <w:rsid w:val="00A5529E"/>
    <w:rsid w:val="00A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86FE"/>
  <w15:chartTrackingRefBased/>
  <w15:docId w15:val="{F3BF16AB-6173-473A-BD0E-AE203EB8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9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552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52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529E"/>
    <w:pPr>
      <w:spacing w:before="100" w:beforeAutospacing="1" w:after="100" w:afterAutospacing="1"/>
    </w:pPr>
  </w:style>
  <w:style w:type="character" w:styleId="Strong">
    <w:name w:val="Strong"/>
    <w:basedOn w:val="DefaultParagraphFont"/>
    <w:uiPriority w:val="22"/>
    <w:qFormat/>
    <w:rsid w:val="00A55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5523">
      <w:bodyDiv w:val="1"/>
      <w:marLeft w:val="0"/>
      <w:marRight w:val="0"/>
      <w:marTop w:val="0"/>
      <w:marBottom w:val="0"/>
      <w:divBdr>
        <w:top w:val="none" w:sz="0" w:space="0" w:color="auto"/>
        <w:left w:val="none" w:sz="0" w:space="0" w:color="auto"/>
        <w:bottom w:val="none" w:sz="0" w:space="0" w:color="auto"/>
        <w:right w:val="none" w:sz="0" w:space="0" w:color="auto"/>
      </w:divBdr>
      <w:divsChild>
        <w:div w:id="39060544">
          <w:marLeft w:val="0"/>
          <w:marRight w:val="0"/>
          <w:marTop w:val="0"/>
          <w:marBottom w:val="0"/>
          <w:divBdr>
            <w:top w:val="none" w:sz="0" w:space="0" w:color="auto"/>
            <w:left w:val="none" w:sz="0" w:space="0" w:color="auto"/>
            <w:bottom w:val="none" w:sz="0" w:space="0" w:color="auto"/>
            <w:right w:val="none" w:sz="0" w:space="0" w:color="auto"/>
          </w:divBdr>
          <w:divsChild>
            <w:div w:id="621302386">
              <w:marLeft w:val="0"/>
              <w:marRight w:val="0"/>
              <w:marTop w:val="0"/>
              <w:marBottom w:val="0"/>
              <w:divBdr>
                <w:top w:val="none" w:sz="0" w:space="0" w:color="auto"/>
                <w:left w:val="none" w:sz="0" w:space="0" w:color="auto"/>
                <w:bottom w:val="none" w:sz="0" w:space="0" w:color="auto"/>
                <w:right w:val="none" w:sz="0" w:space="0" w:color="auto"/>
              </w:divBdr>
              <w:divsChild>
                <w:div w:id="1640846286">
                  <w:marLeft w:val="0"/>
                  <w:marRight w:val="0"/>
                  <w:marTop w:val="0"/>
                  <w:marBottom w:val="0"/>
                  <w:divBdr>
                    <w:top w:val="none" w:sz="0" w:space="0" w:color="auto"/>
                    <w:left w:val="none" w:sz="0" w:space="0" w:color="auto"/>
                    <w:bottom w:val="none" w:sz="0" w:space="0" w:color="auto"/>
                    <w:right w:val="none" w:sz="0" w:space="0" w:color="auto"/>
                  </w:divBdr>
                  <w:divsChild>
                    <w:div w:id="392119503">
                      <w:marLeft w:val="0"/>
                      <w:marRight w:val="0"/>
                      <w:marTop w:val="0"/>
                      <w:marBottom w:val="0"/>
                      <w:divBdr>
                        <w:top w:val="none" w:sz="0" w:space="0" w:color="auto"/>
                        <w:left w:val="none" w:sz="0" w:space="0" w:color="auto"/>
                        <w:bottom w:val="none" w:sz="0" w:space="0" w:color="auto"/>
                        <w:right w:val="none" w:sz="0" w:space="0" w:color="auto"/>
                      </w:divBdr>
                      <w:divsChild>
                        <w:div w:id="2011832947">
                          <w:marLeft w:val="0"/>
                          <w:marRight w:val="0"/>
                          <w:marTop w:val="0"/>
                          <w:marBottom w:val="0"/>
                          <w:divBdr>
                            <w:top w:val="none" w:sz="0" w:space="0" w:color="auto"/>
                            <w:left w:val="none" w:sz="0" w:space="0" w:color="auto"/>
                            <w:bottom w:val="none" w:sz="0" w:space="0" w:color="auto"/>
                            <w:right w:val="none" w:sz="0" w:space="0" w:color="auto"/>
                          </w:divBdr>
                          <w:divsChild>
                            <w:div w:id="6135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2021-03-03T06:59:00Z</dcterms:created>
  <dcterms:modified xsi:type="dcterms:W3CDTF">2021-03-03T07:03:00Z</dcterms:modified>
</cp:coreProperties>
</file>